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9CF1" w14:textId="77777777" w:rsidR="006B7D62" w:rsidRPr="006B7D62" w:rsidRDefault="006B7D62" w:rsidP="006B7D62">
      <w:p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</w:p>
    <w:p w14:paraId="729FB824" w14:textId="4332835E" w:rsidR="006B7D62" w:rsidRPr="006B7D62" w:rsidRDefault="006B7D62" w:rsidP="006B7D62">
      <w:pPr>
        <w:pStyle w:val="Rubrik"/>
        <w:rPr>
          <w:rFonts w:eastAsia="Times New Roman"/>
          <w:lang w:eastAsia="sv-SE"/>
        </w:rPr>
      </w:pPr>
      <w:r w:rsidRPr="006B7D62">
        <w:rPr>
          <w:rFonts w:eastAsia="Times New Roman"/>
          <w:lang w:eastAsia="sv-SE"/>
        </w:rPr>
        <w:t>Information till medlemmarna i BRF Vattenbrynet</w:t>
      </w:r>
    </w:p>
    <w:p w14:paraId="7468412D" w14:textId="77777777" w:rsidR="006B7D62" w:rsidRPr="006B7D62" w:rsidRDefault="006B7D62" w:rsidP="006B7D62">
      <w:p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</w:p>
    <w:p w14:paraId="5E993E2D" w14:textId="6E43AA4D" w:rsidR="006B7D62" w:rsidRPr="006B7D62" w:rsidRDefault="00BD0BE4" w:rsidP="006B7D62">
      <w:pPr>
        <w:pStyle w:val="Liststycke"/>
        <w:numPr>
          <w:ilvl w:val="0"/>
          <w:numId w:val="5"/>
        </w:num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Brf Vattenbrynet</w:t>
      </w:r>
      <w:r w:rsidR="006B7D62" w:rsidRPr="006B7D62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 xml:space="preserve"> har ingått ett avtal om snöröjning med Lassen Construction AB</w:t>
      </w:r>
    </w:p>
    <w:p w14:paraId="37F334AA" w14:textId="77777777" w:rsidR="006B7D62" w:rsidRPr="006B7D62" w:rsidRDefault="006B7D62" w:rsidP="006B7D62">
      <w:p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</w:p>
    <w:p w14:paraId="08384251" w14:textId="0B92E709" w:rsidR="006B7D62" w:rsidRDefault="00BD0BE4" w:rsidP="006B7D62">
      <w:pPr>
        <w:pStyle w:val="Liststycke"/>
        <w:numPr>
          <w:ilvl w:val="0"/>
          <w:numId w:val="4"/>
        </w:num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Brf Vattenbrynet</w:t>
      </w:r>
      <w:r w:rsidRPr="006B7D62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 xml:space="preserve"> </w:t>
      </w:r>
      <w:r w:rsidR="006B7D62" w:rsidRPr="006B7D62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 xml:space="preserve">har även skrivit under ett avtal med Telia för </w:t>
      </w:r>
      <w:proofErr w:type="spellStart"/>
      <w:r w:rsidR="006B7D62" w:rsidRPr="006B7D62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Bolina</w:t>
      </w:r>
      <w:proofErr w:type="spellEnd"/>
      <w:r w:rsidR="006B7D62" w:rsidRPr="006B7D62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 xml:space="preserve"> 3.0, vilket kommer att gälla från och med januari 2024.</w:t>
      </w:r>
    </w:p>
    <w:p w14:paraId="1932AE86" w14:textId="77777777" w:rsidR="006B7D62" w:rsidRPr="006B7D62" w:rsidRDefault="006B7D62" w:rsidP="006B7D62">
      <w:pPr>
        <w:pStyle w:val="Liststycke"/>
        <w:ind w:left="770"/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</w:p>
    <w:p w14:paraId="5C804F5E" w14:textId="77777777" w:rsidR="006B7D62" w:rsidRPr="006B7D62" w:rsidRDefault="006B7D62" w:rsidP="006B7D62">
      <w:p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  <w:r w:rsidRPr="006B7D62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Månadspriset per hushåll är 169 kronor (inklusive moms) och avtalet sträcker sig över 5 år.</w:t>
      </w:r>
    </w:p>
    <w:p w14:paraId="40108F60" w14:textId="77777777" w:rsidR="006B7D62" w:rsidRPr="006B7D62" w:rsidRDefault="006B7D62" w:rsidP="006B7D62">
      <w:p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  <w:r w:rsidRPr="006B7D62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Följande ingår i erbjudandet:</w:t>
      </w:r>
    </w:p>
    <w:p w14:paraId="56592945" w14:textId="77777777" w:rsidR="006B7D62" w:rsidRPr="006B7D62" w:rsidRDefault="006B7D62" w:rsidP="006B7D62">
      <w:p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</w:p>
    <w:p w14:paraId="35911C46" w14:textId="77777777" w:rsidR="006B7D62" w:rsidRPr="006B7D62" w:rsidRDefault="006B7D62" w:rsidP="006B7D62">
      <w:p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  <w:r w:rsidRPr="006B7D62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 xml:space="preserve">• TV &amp; </w:t>
      </w:r>
      <w:proofErr w:type="spellStart"/>
      <w:r w:rsidRPr="006B7D62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StreamingBas</w:t>
      </w:r>
      <w:proofErr w:type="spellEnd"/>
    </w:p>
    <w:p w14:paraId="1AF68BF7" w14:textId="77777777" w:rsidR="006B7D62" w:rsidRPr="006B7D62" w:rsidRDefault="006B7D62" w:rsidP="006B7D62">
      <w:p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  <w:r w:rsidRPr="006B7D62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• TV Danmark</w:t>
      </w:r>
    </w:p>
    <w:p w14:paraId="7F6430BC" w14:textId="77777777" w:rsidR="006B7D62" w:rsidRPr="006B7D62" w:rsidRDefault="006B7D62" w:rsidP="006B7D62">
      <w:p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  <w:r w:rsidRPr="006B7D62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• Bredband 1000/1000</w:t>
      </w:r>
    </w:p>
    <w:p w14:paraId="41AE8A5E" w14:textId="77777777" w:rsidR="006B7D62" w:rsidRPr="006B7D62" w:rsidRDefault="006B7D62" w:rsidP="006B7D62">
      <w:p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  <w:r w:rsidRPr="006B7D62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• Telia Play</w:t>
      </w:r>
    </w:p>
    <w:p w14:paraId="5FFF0B8B" w14:textId="77777777" w:rsidR="006B7D62" w:rsidRPr="006B7D62" w:rsidRDefault="006B7D62" w:rsidP="006B7D62">
      <w:p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  <w:r w:rsidRPr="006B7D62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• Fri support och byte av defekt hårdvara under hela avtalstiden</w:t>
      </w:r>
    </w:p>
    <w:p w14:paraId="566AB3B4" w14:textId="77777777" w:rsidR="006B7D62" w:rsidRPr="006B7D62" w:rsidRDefault="006B7D62" w:rsidP="006B7D62">
      <w:p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  <w:r w:rsidRPr="006B7D62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• Kostnadsfri installationshjälp ingår</w:t>
      </w:r>
    </w:p>
    <w:p w14:paraId="567CE2EC" w14:textId="77777777" w:rsidR="006B7D62" w:rsidRPr="006B7D62" w:rsidRDefault="006B7D62" w:rsidP="006B7D62">
      <w:p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</w:p>
    <w:p w14:paraId="101A4C1B" w14:textId="77777777" w:rsidR="006B7D62" w:rsidRPr="006B7D62" w:rsidRDefault="006B7D62" w:rsidP="006B7D62">
      <w:pPr>
        <w:pStyle w:val="Liststycke"/>
        <w:numPr>
          <w:ilvl w:val="0"/>
          <w:numId w:val="3"/>
        </w:num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  <w:r w:rsidRPr="006B7D62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Styrelsen påminner om vikten av att betala avgiften i tid. Försenade betalningar medför kostnader för föreningen som styrelsen helst undviker.</w:t>
      </w:r>
    </w:p>
    <w:p w14:paraId="5BE66F83" w14:textId="77777777" w:rsidR="006B7D62" w:rsidRPr="006B7D62" w:rsidRDefault="006B7D62" w:rsidP="006B7D62">
      <w:p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</w:p>
    <w:p w14:paraId="3F816CD4" w14:textId="35B6BAF9" w:rsidR="008747E4" w:rsidRPr="008747E4" w:rsidRDefault="006B7D62" w:rsidP="008747E4">
      <w:pPr>
        <w:pStyle w:val="Liststycke"/>
        <w:numPr>
          <w:ilvl w:val="0"/>
          <w:numId w:val="3"/>
        </w:num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  <w:r w:rsidRPr="006B7D62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Det är enligt föreningens stadgar inte tillåtet med korttidsuthyrning av lägenhete</w:t>
      </w:r>
      <w: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n</w:t>
      </w:r>
      <w:r w:rsidR="008747E4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 xml:space="preserve">. </w:t>
      </w:r>
      <w: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 xml:space="preserve">Ansökan om </w:t>
      </w:r>
      <w:r w:rsidR="008747E4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a</w:t>
      </w:r>
      <w: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ndrahandsuthyrning måste godkännas av förvaltning</w:t>
      </w:r>
      <w:r w:rsidR="008747E4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 xml:space="preserve"> innan man får lov att hyra ut lägenheten. Att ha inneboende är tillåten enbart om medlemmen själv bor i lägenheten</w:t>
      </w:r>
      <w:r w:rsidR="00BD0BE4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. I alla tillfällen måste medlem informera förvaltningen.</w:t>
      </w:r>
    </w:p>
    <w:p w14:paraId="503F86F4" w14:textId="77777777" w:rsidR="006B7D62" w:rsidRPr="006B7D62" w:rsidRDefault="006B7D62" w:rsidP="006B7D62">
      <w:pPr>
        <w:pStyle w:val="Liststycke"/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</w:p>
    <w:p w14:paraId="1DF3D13F" w14:textId="0A48619F" w:rsidR="008747E4" w:rsidRDefault="006B7D62" w:rsidP="00BD0BE4">
      <w:pPr>
        <w:pStyle w:val="Liststycke"/>
        <w:numPr>
          <w:ilvl w:val="0"/>
          <w:numId w:val="3"/>
        </w:num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  <w:r w:rsidRPr="008747E4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Vi vill även påminna om ordningsreglerna i föreningen och vikten av att hålla ordning och reda i trapphusen, miljöhuset och övriga gemensamma utrymmen.</w:t>
      </w:r>
    </w:p>
    <w:p w14:paraId="676D0116" w14:textId="77777777" w:rsidR="00BD0BE4" w:rsidRPr="00BD0BE4" w:rsidRDefault="00BD0BE4" w:rsidP="00BD0BE4">
      <w:pPr>
        <w:pStyle w:val="Liststycke"/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</w:p>
    <w:p w14:paraId="4D5C2BD9" w14:textId="79AA2455" w:rsidR="0029026C" w:rsidRPr="00BD0BE4" w:rsidRDefault="006B7D62" w:rsidP="00BD0BE4">
      <w:pPr>
        <w:pStyle w:val="Liststycke"/>
        <w:numPr>
          <w:ilvl w:val="0"/>
          <w:numId w:val="3"/>
        </w:numPr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</w:pPr>
      <w:r w:rsidRPr="00BD0BE4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 xml:space="preserve">Slutligen, medlemmarna uppmanas att sköta om sina trädgårdar. Gräset bör klippas jämnt, och trädgården bör hållas prydlig. </w:t>
      </w:r>
      <w:r w:rsidR="00BD0BE4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br/>
      </w:r>
      <w:r w:rsidR="00BD0BE4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br/>
      </w:r>
      <w:r w:rsidRPr="00BD0BE4">
        <w:rPr>
          <w:rFonts w:ascii="Arial" w:eastAsia="Times New Roman" w:hAnsi="Arial" w:cs="Arial"/>
          <w:color w:val="222222"/>
          <w:sz w:val="20"/>
          <w:szCs w:val="20"/>
          <w:lang w:eastAsia="sv-SE"/>
          <w14:ligatures w14:val="none"/>
        </w:rPr>
        <w:t>Tack för er förståelse och samarbete för att skapa en trivsam boendemiljö i BRF Vattenbrynet.</w:t>
      </w:r>
    </w:p>
    <w:p w14:paraId="0B0343B8" w14:textId="77777777" w:rsidR="00BD0BE4" w:rsidRPr="00BD0BE4" w:rsidRDefault="00BD0BE4" w:rsidP="00BD0BE4">
      <w:pPr>
        <w:pStyle w:val="Liststycke"/>
        <w:rPr>
          <w:sz w:val="14"/>
          <w:szCs w:val="14"/>
        </w:rPr>
      </w:pPr>
    </w:p>
    <w:p w14:paraId="3143A44F" w14:textId="77777777" w:rsidR="00BD0BE4" w:rsidRDefault="00BD0BE4" w:rsidP="00BD0BE4">
      <w:pPr>
        <w:rPr>
          <w:sz w:val="14"/>
          <w:szCs w:val="14"/>
        </w:rPr>
      </w:pPr>
    </w:p>
    <w:p w14:paraId="3E36EF74" w14:textId="6BFC82F5" w:rsidR="00BD0BE4" w:rsidRPr="00BD0BE4" w:rsidRDefault="00BD0BE4" w:rsidP="00BD0BE4">
      <w:pPr>
        <w:rPr>
          <w:b/>
          <w:bCs/>
          <w:sz w:val="24"/>
          <w:szCs w:val="24"/>
        </w:rPr>
      </w:pPr>
      <w:r w:rsidRPr="00BD0BE4">
        <w:rPr>
          <w:b/>
          <w:bCs/>
          <w:sz w:val="24"/>
          <w:szCs w:val="24"/>
        </w:rPr>
        <w:t xml:space="preserve">Styrelsen </w:t>
      </w:r>
    </w:p>
    <w:p w14:paraId="0C3A81AA" w14:textId="51109851" w:rsidR="00BD0BE4" w:rsidRPr="00BD0BE4" w:rsidRDefault="00BD0BE4" w:rsidP="00BD0BE4">
      <w:pPr>
        <w:rPr>
          <w:b/>
          <w:bCs/>
          <w:sz w:val="24"/>
          <w:szCs w:val="24"/>
        </w:rPr>
      </w:pPr>
      <w:r w:rsidRPr="00BD0BE4">
        <w:rPr>
          <w:b/>
          <w:bCs/>
          <w:sz w:val="24"/>
          <w:szCs w:val="24"/>
        </w:rPr>
        <w:t>Brf Vattenbrynet</w:t>
      </w:r>
    </w:p>
    <w:sectPr w:rsidR="00BD0BE4" w:rsidRPr="00BD0BE4" w:rsidSect="00B72137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3FFF" w14:textId="77777777" w:rsidR="008747E4" w:rsidRDefault="008747E4" w:rsidP="008747E4">
      <w:pPr>
        <w:spacing w:after="0" w:line="240" w:lineRule="auto"/>
      </w:pPr>
      <w:r>
        <w:separator/>
      </w:r>
    </w:p>
  </w:endnote>
  <w:endnote w:type="continuationSeparator" w:id="0">
    <w:p w14:paraId="3C334795" w14:textId="77777777" w:rsidR="008747E4" w:rsidRDefault="008747E4" w:rsidP="0087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67CB" w14:textId="77777777" w:rsidR="008747E4" w:rsidRDefault="008747E4" w:rsidP="008747E4">
      <w:pPr>
        <w:spacing w:after="0" w:line="240" w:lineRule="auto"/>
      </w:pPr>
      <w:r>
        <w:separator/>
      </w:r>
    </w:p>
  </w:footnote>
  <w:footnote w:type="continuationSeparator" w:id="0">
    <w:p w14:paraId="3051ED18" w14:textId="77777777" w:rsidR="008747E4" w:rsidRDefault="008747E4" w:rsidP="0087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994B" w14:textId="560C1A85" w:rsidR="008747E4" w:rsidRDefault="008747E4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624E3D" wp14:editId="2670CD6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8415"/>
              <wp:wrapNone/>
              <wp:docPr id="726737098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394BA" w14:textId="784D583E" w:rsidR="008747E4" w:rsidRPr="008747E4" w:rsidRDefault="008747E4" w:rsidP="008747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47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24E3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56394BA" w14:textId="784D583E" w:rsidR="008747E4" w:rsidRPr="008747E4" w:rsidRDefault="008747E4" w:rsidP="008747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747E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A4AD" w14:textId="12616149" w:rsidR="00BD0BE4" w:rsidRDefault="008747E4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BD9CCC" wp14:editId="4B4E4A76">
              <wp:simplePos x="898497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8415"/>
              <wp:wrapNone/>
              <wp:docPr id="699070952" name="Textruta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CE4FB" w14:textId="74E91E23" w:rsidR="008747E4" w:rsidRPr="008747E4" w:rsidRDefault="008747E4" w:rsidP="008747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47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D9CCC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4FCE4FB" w14:textId="74E91E23" w:rsidR="008747E4" w:rsidRPr="008747E4" w:rsidRDefault="008747E4" w:rsidP="008747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747E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0BE4">
      <w:t>2023-11-23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BED1" w14:textId="402703A4" w:rsidR="008747E4" w:rsidRDefault="008747E4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C38ADD" wp14:editId="4316CD5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8415"/>
              <wp:wrapNone/>
              <wp:docPr id="935522167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65B34" w14:textId="1225B0A9" w:rsidR="008747E4" w:rsidRPr="008747E4" w:rsidRDefault="008747E4" w:rsidP="008747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47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38AD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C465B34" w14:textId="1225B0A9" w:rsidR="008747E4" w:rsidRPr="008747E4" w:rsidRDefault="008747E4" w:rsidP="008747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747E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507"/>
    <w:multiLevelType w:val="hybridMultilevel"/>
    <w:tmpl w:val="97C620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42F7"/>
    <w:multiLevelType w:val="hybridMultilevel"/>
    <w:tmpl w:val="45D21D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21C6D"/>
    <w:multiLevelType w:val="hybridMultilevel"/>
    <w:tmpl w:val="86306E26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9720C2A"/>
    <w:multiLevelType w:val="hybridMultilevel"/>
    <w:tmpl w:val="DAF483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E4E26"/>
    <w:multiLevelType w:val="hybridMultilevel"/>
    <w:tmpl w:val="43C41378"/>
    <w:lvl w:ilvl="0" w:tplc="041D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737165995">
    <w:abstractNumId w:val="3"/>
  </w:num>
  <w:num w:numId="2" w16cid:durableId="217326934">
    <w:abstractNumId w:val="4"/>
  </w:num>
  <w:num w:numId="3" w16cid:durableId="442113609">
    <w:abstractNumId w:val="1"/>
  </w:num>
  <w:num w:numId="4" w16cid:durableId="958729264">
    <w:abstractNumId w:val="2"/>
  </w:num>
  <w:num w:numId="5" w16cid:durableId="72459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DE"/>
    <w:rsid w:val="00266337"/>
    <w:rsid w:val="0029026C"/>
    <w:rsid w:val="003E1EBD"/>
    <w:rsid w:val="006B7D62"/>
    <w:rsid w:val="00731301"/>
    <w:rsid w:val="008747E4"/>
    <w:rsid w:val="00920E1E"/>
    <w:rsid w:val="00A51962"/>
    <w:rsid w:val="00AC5FDE"/>
    <w:rsid w:val="00B72137"/>
    <w:rsid w:val="00BD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368E"/>
  <w15:chartTrackingRefBased/>
  <w15:docId w15:val="{13105EAF-74E2-42B8-B226-56F68152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0E1E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6B7D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B7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874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47E4"/>
  </w:style>
  <w:style w:type="paragraph" w:styleId="Sidfot">
    <w:name w:val="footer"/>
    <w:basedOn w:val="Normal"/>
    <w:link w:val="SidfotChar"/>
    <w:uiPriority w:val="99"/>
    <w:unhideWhenUsed/>
    <w:rsid w:val="00BD0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0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Parsaei</dc:creator>
  <cp:keywords/>
  <dc:description/>
  <cp:lastModifiedBy>Mehdi Parsaei</cp:lastModifiedBy>
  <cp:revision>2</cp:revision>
  <dcterms:created xsi:type="dcterms:W3CDTF">2023-11-22T14:31:00Z</dcterms:created>
  <dcterms:modified xsi:type="dcterms:W3CDTF">2023-11-22T14:31:00Z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37c2ef77,2b5120ca,29aaf9e8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2023-11-21T12:30:10Z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9930d11a-45ee-40b1-8d7b-51361360ad52</vt:lpwstr>
  </property>
  <property fmtid="{D5CDD505-2E9C-101B-9397-08002B2CF9AE}" pid="11" name="MSIP_Label_aee490da-fed8-48ce-ab1f-32dee818a6c1_ContentBits">
    <vt:lpwstr>1</vt:lpwstr>
  </property>
</Properties>
</file>